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BF90A" w14:textId="3E21F178" w:rsidR="00A14F73" w:rsidRDefault="00A14F73" w:rsidP="00A14F73">
      <w:pPr>
        <w:jc w:val="center"/>
        <w:rPr>
          <w:rFonts w:ascii="TH SarabunIT๙" w:hAnsi="TH SarabunIT๙" w:cs="TH SarabunIT๙"/>
          <w:color w:val="212529"/>
          <w:sz w:val="44"/>
          <w:szCs w:val="44"/>
          <w:shd w:val="clear" w:color="auto" w:fill="FFFFFF"/>
        </w:rPr>
      </w:pPr>
      <w:r w:rsidRPr="00A14F73">
        <w:rPr>
          <w:rFonts w:ascii="TH SarabunIT๙" w:hAnsi="TH SarabunIT๙" w:cs="TH SarabunIT๙"/>
          <w:b/>
          <w:bCs/>
          <w:color w:val="683498"/>
          <w:sz w:val="44"/>
          <w:szCs w:val="44"/>
          <w:shd w:val="clear" w:color="auto" w:fill="FFFFFF"/>
          <w:cs/>
        </w:rPr>
        <w:t>แบบวัดการรับรู้ของผู้มีส่วนได้ส่วนเสียภายนอก (</w:t>
      </w:r>
      <w:r w:rsidRPr="00A14F73">
        <w:rPr>
          <w:rFonts w:ascii="TH SarabunIT๙" w:hAnsi="TH SarabunIT๙" w:cs="TH SarabunIT๙"/>
          <w:b/>
          <w:bCs/>
          <w:color w:val="683498"/>
          <w:sz w:val="44"/>
          <w:szCs w:val="44"/>
          <w:shd w:val="clear" w:color="auto" w:fill="FFFFFF"/>
        </w:rPr>
        <w:t>EIT)</w:t>
      </w:r>
      <w:r w:rsidRPr="00A14F73">
        <w:rPr>
          <w:rFonts w:ascii="TH SarabunIT๙" w:hAnsi="TH SarabunIT๙" w:cs="TH SarabunIT๙"/>
          <w:color w:val="212529"/>
          <w:sz w:val="44"/>
          <w:szCs w:val="44"/>
        </w:rPr>
        <w:br/>
      </w:r>
      <w:hyperlink r:id="rId4" w:history="1">
        <w:r w:rsidRPr="00E40CC1">
          <w:rPr>
            <w:rStyle w:val="a3"/>
            <w:rFonts w:ascii="TH SarabunIT๙" w:hAnsi="TH SarabunIT๙" w:cs="TH SarabunIT๙"/>
            <w:sz w:val="44"/>
            <w:szCs w:val="44"/>
            <w:shd w:val="clear" w:color="auto" w:fill="FFFFFF"/>
          </w:rPr>
          <w:t>https://itas.nacc.go.th/go/eit/sl7eh2</w:t>
        </w:r>
      </w:hyperlink>
    </w:p>
    <w:p w14:paraId="52A92D6D" w14:textId="4CFB7C12" w:rsidR="00A14F73" w:rsidRPr="00A14F73" w:rsidRDefault="00A14F73" w:rsidP="00C02E43">
      <w:pPr>
        <w:jc w:val="center"/>
        <w:rPr>
          <w:rFonts w:ascii="TH SarabunIT๙" w:hAnsi="TH SarabunIT๙" w:cs="TH SarabunIT๙" w:hint="cs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CD419C" wp14:editId="0020BEED">
            <wp:simplePos x="0" y="0"/>
            <wp:positionH relativeFrom="column">
              <wp:posOffset>1149350</wp:posOffset>
            </wp:positionH>
            <wp:positionV relativeFrom="paragraph">
              <wp:posOffset>6350</wp:posOffset>
            </wp:positionV>
            <wp:extent cx="3752850" cy="37528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2E43">
        <w:rPr>
          <w:rFonts w:ascii="TH SarabunIT๙" w:hAnsi="TH SarabunIT๙" w:cs="TH SarabunIT๙"/>
          <w:sz w:val="44"/>
          <w:szCs w:val="44"/>
        </w:rPr>
        <w:br w:type="textWrapping" w:clear="all"/>
      </w:r>
    </w:p>
    <w:p w14:paraId="7BBFD453" w14:textId="77777777" w:rsidR="00A14F73" w:rsidRPr="00A14F73" w:rsidRDefault="00A14F73">
      <w:pPr>
        <w:jc w:val="center"/>
        <w:rPr>
          <w:rFonts w:ascii="TH SarabunIT๙" w:hAnsi="TH SarabunIT๙" w:cs="TH SarabunIT๙"/>
          <w:sz w:val="44"/>
          <w:szCs w:val="44"/>
        </w:rPr>
      </w:pPr>
    </w:p>
    <w:sectPr w:rsidR="00A14F73" w:rsidRPr="00A14F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73"/>
    <w:rsid w:val="00A14F73"/>
    <w:rsid w:val="00C0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8A82"/>
  <w15:chartTrackingRefBased/>
  <w15:docId w15:val="{19F9A995-172D-43FE-8A27-2D957D78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4F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14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itas.nacc.go.th/go/eit/sl7eh2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2</cp:revision>
  <dcterms:created xsi:type="dcterms:W3CDTF">2024-02-05T03:40:00Z</dcterms:created>
  <dcterms:modified xsi:type="dcterms:W3CDTF">2024-02-05T03:44:00Z</dcterms:modified>
</cp:coreProperties>
</file>